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6003" w14:textId="7BE3D8D9" w:rsidR="00151239" w:rsidRDefault="00151239" w:rsidP="001512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239">
        <w:rPr>
          <w:rFonts w:ascii="Times New Roman" w:hAnsi="Times New Roman" w:cs="Times New Roman"/>
          <w:b/>
          <w:bCs/>
          <w:sz w:val="28"/>
          <w:szCs w:val="28"/>
        </w:rPr>
        <w:t>Теоретические вопросы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подготовки к экзамену </w:t>
      </w:r>
    </w:p>
    <w:p w14:paraId="6F9FA6A2" w14:textId="77777777" w:rsidR="00151239" w:rsidRDefault="00151239" w:rsidP="001512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МДК 02.01 Технология разработки </w:t>
      </w:r>
    </w:p>
    <w:p w14:paraId="69614660" w14:textId="0CC7FF73" w:rsidR="00F30AEA" w:rsidRDefault="00151239" w:rsidP="001512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программного обеспечения</w:t>
      </w:r>
    </w:p>
    <w:p w14:paraId="17E1851C" w14:textId="77777777" w:rsidR="00151239" w:rsidRPr="005A7C2B" w:rsidRDefault="00151239" w:rsidP="00151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C2B">
        <w:rPr>
          <w:rFonts w:ascii="Times New Roman" w:hAnsi="Times New Roman" w:cs="Times New Roman"/>
          <w:sz w:val="28"/>
          <w:szCs w:val="28"/>
        </w:rPr>
        <w:t xml:space="preserve">Краткие ответы на вопросы можно найти по ссылке </w:t>
      </w:r>
      <w:hyperlink r:id="rId5" w:history="1">
        <w:r w:rsidRPr="005A7C2B">
          <w:rPr>
            <w:rStyle w:val="a4"/>
            <w:rFonts w:ascii="Times New Roman" w:hAnsi="Times New Roman" w:cs="Times New Roman"/>
            <w:sz w:val="28"/>
            <w:szCs w:val="28"/>
          </w:rPr>
          <w:t>https://studfile.net/preview/1444532/page:6/</w:t>
        </w:r>
      </w:hyperlink>
    </w:p>
    <w:p w14:paraId="43DD325A" w14:textId="77777777" w:rsidR="00151239" w:rsidRPr="00151239" w:rsidRDefault="00151239" w:rsidP="0015123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FB79D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Стратегии разработки ПО. Программное средство. Программный продукт. Система.</w:t>
      </w:r>
    </w:p>
    <w:p w14:paraId="61E3B97F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Жизненный цикл программных средств. Стандарт ISO/IEC 12207:2008 ЖЦ. Основные, вспомогательные и организационные процессы ЖЦ.</w:t>
      </w:r>
    </w:p>
    <w:p w14:paraId="78502E63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Базовые стратегии разработки программных средств и систем. Достоинства. Недостатки.</w:t>
      </w:r>
    </w:p>
    <w:p w14:paraId="37108E0B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Выбор стратегий в зависимости от характеристик проекта. Каскадная стратегия разработки программных средств и систем.</w:t>
      </w:r>
    </w:p>
    <w:p w14:paraId="1125FC10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Инкрементная стратегия разработки программных средств и систем. Эволюционная стратегия разработки программных средств и систем.</w:t>
      </w:r>
    </w:p>
    <w:p w14:paraId="58FEC19C" w14:textId="77777777" w:rsidR="00C90A95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 xml:space="preserve">Модели жизненного цикла, реализующие каскадную стратегию разработки программных средств и систем. Общие сведения о каскадных моделях. </w:t>
      </w:r>
    </w:p>
    <w:p w14:paraId="7943B0E6" w14:textId="4F786670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Классическая каскадная модель. Каскадная модель с обратными связями.</w:t>
      </w:r>
    </w:p>
    <w:p w14:paraId="34E66583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Модели быстрой разработки приложений. Базовая RAD-модель. RAD-модель, основанная на моделировании предметной области. RAD-модель параллельной разработки приложений.</w:t>
      </w:r>
    </w:p>
    <w:p w14:paraId="05D1131B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Модели жизненного цикла, реализующие инкрементную стратегию разработки программных средств и систем. Общие сведения об инкрементных моделях.</w:t>
      </w:r>
    </w:p>
    <w:p w14:paraId="40D6B558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lastRenderedPageBreak/>
        <w:t>Инкрементная модель с уточнением требований на начальных этапах разработки. Вариант инкрементной модели по ГОСТ Р ИСО/МЭК ТО 15271–2002. Инкрементная модель экстремального программирования.</w:t>
      </w:r>
    </w:p>
    <w:p w14:paraId="07F7D633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Модели жизненного цикла, реализующие эволюционную стратегию разработки программных средств и систем. Общие сведения об эволюционных моделях.</w:t>
      </w:r>
    </w:p>
    <w:p w14:paraId="49E12537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Эволюционная модель по ГОСТ Р ИСО/МЭК ТО 15271–2002. Структурная эволюционная модель быстрого прототипирования. Эволюционная модель прототипирования по ГОСТ Р ИСО/МЭК ТО 15271–2002.</w:t>
      </w:r>
    </w:p>
    <w:p w14:paraId="5D5D7BC8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Спиральная модель Боэма. Упрощенные варианты спиральной модели.</w:t>
      </w:r>
    </w:p>
    <w:p w14:paraId="66628876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Выбор модели жизненного цикла для конкретного проекта. Классификация проектов по разработке программных средств и систем.</w:t>
      </w:r>
    </w:p>
    <w:p w14:paraId="6D1A0AC7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Процедура выбора модели жизненного цикла программных средств и систем.</w:t>
      </w:r>
    </w:p>
    <w:p w14:paraId="1B1C746C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Адаптация модели жизненного цикла разработки программных средств и систем к условиям конкретного проекта.</w:t>
      </w:r>
    </w:p>
    <w:p w14:paraId="2DAB1E17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Оценка качества ПО. Стандартизация разработки ПП. Основные программные документы.</w:t>
      </w:r>
    </w:p>
    <w:p w14:paraId="18AE1D71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Оформление программной документации. Принципы разработки программного обеспечения.</w:t>
      </w:r>
    </w:p>
    <w:p w14:paraId="6AAC3DA8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Стандарты качества программной документации. Основные ГОСТы и международные стандарты.</w:t>
      </w:r>
    </w:p>
    <w:p w14:paraId="6CC64C6A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Меры и метрики программного обеспечения. Метрики сложности кода и тестового покрытия.</w:t>
      </w:r>
    </w:p>
    <w:p w14:paraId="0E6E7E6A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Классические методологии разработки программных средств. Структурное программирование.</w:t>
      </w:r>
    </w:p>
    <w:p w14:paraId="3FF45E62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lastRenderedPageBreak/>
        <w:t>Основные положения структурного программирования. Реализация основ структурного программирования в языках программирования.</w:t>
      </w:r>
    </w:p>
    <w:p w14:paraId="1CD5A015" w14:textId="7BC453F2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 xml:space="preserve">Графическое представление структурированных схем алгоритмов. Модульное проектирование программных средств. Методы нисходящего проектирования. </w:t>
      </w:r>
    </w:p>
    <w:p w14:paraId="080DEE04" w14:textId="7E8B1F4B" w:rsidR="00151239" w:rsidRPr="00151239" w:rsidRDefault="00151239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Проектирование программных средств с помощью псевдокода и управляющих конструкций структурного программирования.</w:t>
      </w:r>
    </w:p>
    <w:p w14:paraId="1970B73E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Case-технологии структурного анализа и проектирования программных средств. Общие сведения о CASE-технологиях. Методология функционального моделирования IDEF0.</w:t>
      </w:r>
    </w:p>
    <w:p w14:paraId="14328A50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Общие сведения о методологии SADT. Основные понятия IDEF0-модели. Синтаксис IDEF0-диаграмм. Синтаксис IDEF0-моделей.</w:t>
      </w:r>
    </w:p>
    <w:p w14:paraId="7AFCCE04" w14:textId="77777777" w:rsidR="00C90A95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 xml:space="preserve">Декомпозиция и её стратегии при IDEF0-моделировании. Процесс моделирования в IDEF0. Методология структурного анализа потоков данных DFD. </w:t>
      </w:r>
    </w:p>
    <w:p w14:paraId="71F0C8CB" w14:textId="109338F5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Основные понятия DFD-модели. Синтаксис DFD-диаграмм. Синтаксис DFD-моделей.</w:t>
      </w:r>
    </w:p>
    <w:p w14:paraId="3D541A9E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Методология информационного моделирования IDEF1X. Основные понятия и определения. Сущности. Атрибуты. Способы представления сущностей с атрибутами. Правила атрибутов. Связи.</w:t>
      </w:r>
    </w:p>
    <w:p w14:paraId="761EA455" w14:textId="77777777" w:rsidR="00C90A95" w:rsidRDefault="00151239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 xml:space="preserve">Безусловные и условные связи и их мощность. Графическое представление мощности соединительных связей в IDEF1X-моделировании. Формализация соединительных связей. </w:t>
      </w:r>
    </w:p>
    <w:p w14:paraId="33385965" w14:textId="688FF7B4" w:rsidR="00151239" w:rsidRPr="00151239" w:rsidRDefault="00151239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Реализация безусловных и условных связей в IDEF1X-моделировании. Неспецифические связи. Метод JSD Джексона. Диаграммы Варнье–Орра.</w:t>
      </w:r>
    </w:p>
    <w:p w14:paraId="509023A4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Основы языка UML как стандарта объектно-ориентированного моделирования.</w:t>
      </w:r>
    </w:p>
    <w:p w14:paraId="44B438B9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lastRenderedPageBreak/>
        <w:t>Диаграммы моделирования в языке UML. Классификация и назначение различных типов диаграмм.</w:t>
      </w:r>
    </w:p>
    <w:p w14:paraId="50F0EB7F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Диаграмма вариантов использования в UML. Назначение, акторы, прецеденты.</w:t>
      </w:r>
    </w:p>
    <w:p w14:paraId="45873C41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Диаграмма классов в UML. Элементы диаграммы: классы, атрибуты, операции, связи.</w:t>
      </w:r>
    </w:p>
    <w:p w14:paraId="701F70A3" w14:textId="409ACA29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 xml:space="preserve">Диаграммы моделирования в языке UML. Классификация и назначение различных типов диаграмм. </w:t>
      </w:r>
    </w:p>
    <w:p w14:paraId="0131140E" w14:textId="0D4A4DB5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 xml:space="preserve">Диаграмма вариантов использования в UML. Назначение, акторы, прецеденты. </w:t>
      </w:r>
    </w:p>
    <w:p w14:paraId="52DB13DC" w14:textId="1D0C3C42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Диаграмма классов в UML. Элементы диаграммы: классы, атрибуты, операции,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5B04C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Цели и задачи тестирования программного обеспечения. Основные виды тестирования.</w:t>
      </w:r>
    </w:p>
    <w:p w14:paraId="3E991C97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Планирование тестирования программного средства. Этапы и артефакты тестового плана.</w:t>
      </w:r>
    </w:p>
    <w:p w14:paraId="12EAA38D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Понятие тестового покрытия. Критерии покрытия операторов, ветвей, условий.</w:t>
      </w:r>
    </w:p>
    <w:p w14:paraId="4E9111C4" w14:textId="77777777" w:rsidR="00151239" w:rsidRPr="00151239" w:rsidRDefault="00151239" w:rsidP="0015123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Тестовый сценарий и тестовый пакет. Разработка и оформление тестовой документации.</w:t>
      </w:r>
    </w:p>
    <w:p w14:paraId="4F3D036A" w14:textId="24E88E0C" w:rsidR="00C90A95" w:rsidRPr="00C90A95" w:rsidRDefault="00151239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9">
        <w:rPr>
          <w:rFonts w:ascii="Times New Roman" w:hAnsi="Times New Roman" w:cs="Times New Roman"/>
          <w:sz w:val="28"/>
          <w:szCs w:val="28"/>
        </w:rPr>
        <w:t>Анализ спецификаций программного обеспечения. Верификация и аттестация ПО</w:t>
      </w:r>
      <w:r w:rsidR="00C90A95" w:rsidRPr="00C90A95">
        <w:rPr>
          <w:rFonts w:ascii="Times New Roman" w:hAnsi="Times New Roman" w:cs="Times New Roman"/>
          <w:sz w:val="28"/>
          <w:szCs w:val="28"/>
        </w:rPr>
        <w:t>.</w:t>
      </w:r>
    </w:p>
    <w:p w14:paraId="36407E23" w14:textId="77777777" w:rsidR="00C90A95" w:rsidRPr="00C90A95" w:rsidRDefault="00C90A95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95">
        <w:rPr>
          <w:rFonts w:ascii="Times New Roman" w:hAnsi="Times New Roman" w:cs="Times New Roman"/>
          <w:sz w:val="28"/>
          <w:szCs w:val="28"/>
        </w:rPr>
        <w:t>Оценка структурного разбиения программы на модули: критерии связности (</w:t>
      </w:r>
      <w:proofErr w:type="spellStart"/>
      <w:r w:rsidRPr="00C90A95">
        <w:rPr>
          <w:rFonts w:ascii="Times New Roman" w:hAnsi="Times New Roman" w:cs="Times New Roman"/>
          <w:sz w:val="28"/>
          <w:szCs w:val="28"/>
        </w:rPr>
        <w:t>сцепленности</w:t>
      </w:r>
      <w:proofErr w:type="spellEnd"/>
      <w:r w:rsidRPr="00C90A95">
        <w:rPr>
          <w:rFonts w:ascii="Times New Roman" w:hAnsi="Times New Roman" w:cs="Times New Roman"/>
          <w:sz w:val="28"/>
          <w:szCs w:val="28"/>
        </w:rPr>
        <w:t>) модуля, виды и характеристика.</w:t>
      </w:r>
    </w:p>
    <w:p w14:paraId="6333CD9E" w14:textId="77777777" w:rsidR="00C90A95" w:rsidRPr="00C90A95" w:rsidRDefault="00C90A95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95">
        <w:rPr>
          <w:rFonts w:ascii="Times New Roman" w:hAnsi="Times New Roman" w:cs="Times New Roman"/>
          <w:sz w:val="28"/>
          <w:szCs w:val="28"/>
        </w:rPr>
        <w:t>Оценка структурного разбиения программы на модули: критерии сцепления (зацепления) модулей, виды и характеристика.</w:t>
      </w:r>
    </w:p>
    <w:p w14:paraId="7CA5A513" w14:textId="3BD07CDD" w:rsidR="00C90A95" w:rsidRPr="00C90A95" w:rsidRDefault="00C90A95" w:rsidP="00D870A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95">
        <w:rPr>
          <w:rFonts w:ascii="Times New Roman" w:hAnsi="Times New Roman" w:cs="Times New Roman"/>
          <w:sz w:val="28"/>
          <w:szCs w:val="28"/>
        </w:rPr>
        <w:t>Роль и принципы использования комментариев для описания обработки данных в структурном программировании.</w:t>
      </w:r>
    </w:p>
    <w:p w14:paraId="79BAB68C" w14:textId="77777777" w:rsidR="00C90A95" w:rsidRPr="00C90A95" w:rsidRDefault="00C90A95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95">
        <w:rPr>
          <w:rFonts w:ascii="Times New Roman" w:hAnsi="Times New Roman" w:cs="Times New Roman"/>
          <w:sz w:val="28"/>
          <w:szCs w:val="28"/>
        </w:rPr>
        <w:t>Процесс и стратегии декомпозиции при функциональном моделировании в IDEF0.</w:t>
      </w:r>
    </w:p>
    <w:p w14:paraId="355AAC70" w14:textId="34BE18A5" w:rsidR="00C90A95" w:rsidRPr="00C90A95" w:rsidRDefault="00C90A95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95">
        <w:rPr>
          <w:rFonts w:ascii="Times New Roman" w:hAnsi="Times New Roman" w:cs="Times New Roman"/>
          <w:sz w:val="28"/>
          <w:szCs w:val="28"/>
        </w:rPr>
        <w:lastRenderedPageBreak/>
        <w:t>Нормализация данных в методологии IDEF1X: понятие, цели и основные этапы.</w:t>
      </w:r>
    </w:p>
    <w:p w14:paraId="00FBF6CD" w14:textId="77777777" w:rsidR="00C90A95" w:rsidRPr="00C90A95" w:rsidRDefault="00C90A95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95">
        <w:rPr>
          <w:rFonts w:ascii="Times New Roman" w:hAnsi="Times New Roman" w:cs="Times New Roman"/>
          <w:sz w:val="28"/>
          <w:szCs w:val="28"/>
        </w:rPr>
        <w:t>Стратегия тестирования «черного ящика»: основные техники формирования тестовых данных (эквивалентное разбиение, анализ граничных значений).</w:t>
      </w:r>
    </w:p>
    <w:p w14:paraId="193BDB47" w14:textId="30B00A75" w:rsidR="00C90A95" w:rsidRPr="00151239" w:rsidRDefault="00C90A95" w:rsidP="00C90A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95">
        <w:rPr>
          <w:rFonts w:ascii="Times New Roman" w:hAnsi="Times New Roman" w:cs="Times New Roman"/>
          <w:sz w:val="28"/>
          <w:szCs w:val="28"/>
        </w:rPr>
        <w:t>Инспекция программного кода (</w:t>
      </w:r>
      <w:proofErr w:type="spellStart"/>
      <w:r w:rsidRPr="00C90A95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C90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A95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C90A95">
        <w:rPr>
          <w:rFonts w:ascii="Times New Roman" w:hAnsi="Times New Roman" w:cs="Times New Roman"/>
          <w:sz w:val="28"/>
          <w:szCs w:val="28"/>
        </w:rPr>
        <w:t>) как метод статического тестирования: цели, виды, основные этапы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90A95" w:rsidRPr="0015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224AA"/>
    <w:multiLevelType w:val="hybridMultilevel"/>
    <w:tmpl w:val="9470F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0E88"/>
    <w:multiLevelType w:val="hybridMultilevel"/>
    <w:tmpl w:val="83DA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60588"/>
    <w:multiLevelType w:val="multilevel"/>
    <w:tmpl w:val="C92A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088518">
    <w:abstractNumId w:val="1"/>
  </w:num>
  <w:num w:numId="2" w16cid:durableId="1127703259">
    <w:abstractNumId w:val="0"/>
  </w:num>
  <w:num w:numId="3" w16cid:durableId="74248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96"/>
    <w:rsid w:val="00151239"/>
    <w:rsid w:val="00181FF9"/>
    <w:rsid w:val="002E4778"/>
    <w:rsid w:val="003964E5"/>
    <w:rsid w:val="003A2C48"/>
    <w:rsid w:val="003D6DAC"/>
    <w:rsid w:val="0042447D"/>
    <w:rsid w:val="005A7C2B"/>
    <w:rsid w:val="006F493A"/>
    <w:rsid w:val="008F0649"/>
    <w:rsid w:val="00AB7696"/>
    <w:rsid w:val="00C90A95"/>
    <w:rsid w:val="00CF719C"/>
    <w:rsid w:val="00D870A5"/>
    <w:rsid w:val="00E22176"/>
    <w:rsid w:val="00E43FE3"/>
    <w:rsid w:val="00EB6898"/>
    <w:rsid w:val="00F30AEA"/>
    <w:rsid w:val="00F5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9F00"/>
  <w15:chartTrackingRefBased/>
  <w15:docId w15:val="{3E0B9BA8-1981-4C54-8C35-A7F0AAE1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AE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A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A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0AE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30A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file.net/preview/1444532/page: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Chekan</dc:creator>
  <cp:keywords/>
  <dc:description/>
  <cp:lastModifiedBy>Daria Chekan</cp:lastModifiedBy>
  <cp:revision>8</cp:revision>
  <dcterms:created xsi:type="dcterms:W3CDTF">2025-11-18T10:24:00Z</dcterms:created>
  <dcterms:modified xsi:type="dcterms:W3CDTF">2025-11-21T16:03:00Z</dcterms:modified>
</cp:coreProperties>
</file>